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EB5" w:rsidRPr="003441CD" w:rsidRDefault="009A4EB5" w:rsidP="003441CD">
      <w:pPr>
        <w:spacing w:after="0" w:line="240" w:lineRule="auto"/>
        <w:jc w:val="both"/>
        <w:rPr>
          <w:rFonts w:ascii="Times New Roman" w:hAnsi="Times New Roman"/>
          <w:sz w:val="24"/>
          <w:szCs w:val="24"/>
        </w:rPr>
      </w:pPr>
      <w:r w:rsidRPr="003441CD">
        <w:rPr>
          <w:rFonts w:ascii="Arial" w:hAnsi="Arial" w:cs="Arial"/>
          <w:color w:val="0000FF"/>
          <w:sz w:val="23"/>
          <w:szCs w:val="23"/>
        </w:rPr>
        <w:t>Arts</w:t>
      </w:r>
    </w:p>
    <w:p w:rsidR="009A4EB5" w:rsidRPr="003441CD" w:rsidRDefault="009A4EB5" w:rsidP="00693B5F">
      <w:pPr>
        <w:spacing w:after="0" w:line="240" w:lineRule="auto"/>
        <w:rPr>
          <w:rFonts w:ascii="Times New Roman" w:hAnsi="Times New Roman"/>
          <w:sz w:val="24"/>
          <w:szCs w:val="24"/>
        </w:rPr>
      </w:pPr>
      <w:r w:rsidRPr="003441CD">
        <w:rPr>
          <w:rFonts w:ascii="Arial" w:hAnsi="Arial" w:cs="Arial"/>
          <w:color w:val="0000FF"/>
          <w:sz w:val="23"/>
          <w:szCs w:val="23"/>
        </w:rPr>
        <w:t>1/0 Painting - Shantanu</w:t>
      </w:r>
      <w:r w:rsidRPr="003441CD">
        <w:rPr>
          <w:rFonts w:ascii="Times New Roman" w:hAnsi="Times New Roman"/>
          <w:sz w:val="24"/>
          <w:szCs w:val="24"/>
        </w:rPr>
        <w:br/>
      </w:r>
      <w:r w:rsidRPr="003441CD">
        <w:rPr>
          <w:rFonts w:ascii="Times New Roman" w:hAnsi="Times New Roman"/>
          <w:sz w:val="24"/>
          <w:szCs w:val="24"/>
        </w:rPr>
        <w:br/>
      </w:r>
      <w:r w:rsidRPr="003441CD">
        <w:rPr>
          <w:rFonts w:ascii="Arial" w:hAnsi="Arial" w:cs="Arial"/>
          <w:color w:val="0000FF"/>
          <w:sz w:val="23"/>
          <w:szCs w:val="23"/>
        </w:rPr>
        <w:t>1/0 Other - Shantanu</w:t>
      </w:r>
      <w:r w:rsidRPr="003441CD">
        <w:rPr>
          <w:rFonts w:ascii="Times New Roman" w:hAnsi="Times New Roman"/>
          <w:sz w:val="24"/>
          <w:szCs w:val="24"/>
        </w:rPr>
        <w:br/>
      </w:r>
      <w:r w:rsidRPr="003441CD">
        <w:rPr>
          <w:rFonts w:ascii="Times New Roman" w:hAnsi="Times New Roman"/>
          <w:sz w:val="24"/>
          <w:szCs w:val="24"/>
        </w:rPr>
        <w:br/>
      </w:r>
      <w:r w:rsidRPr="003441CD">
        <w:rPr>
          <w:rFonts w:ascii="Arial" w:hAnsi="Arial" w:cs="Arial"/>
          <w:color w:val="0000FF"/>
          <w:sz w:val="23"/>
          <w:szCs w:val="23"/>
        </w:rPr>
        <w:t>1/0 Social Science - Daichi</w:t>
      </w:r>
      <w:r w:rsidRPr="003441CD">
        <w:rPr>
          <w:rFonts w:ascii="Times New Roman" w:hAnsi="Times New Roman"/>
          <w:sz w:val="24"/>
          <w:szCs w:val="24"/>
        </w:rPr>
        <w:br/>
      </w:r>
      <w:r w:rsidRPr="003441CD">
        <w:rPr>
          <w:rFonts w:ascii="Arial" w:hAnsi="Arial" w:cs="Arial"/>
          <w:color w:val="0000FF"/>
          <w:sz w:val="23"/>
          <w:szCs w:val="23"/>
        </w:rPr>
        <w:t>1/0 Other Academic - Shantanu</w:t>
      </w:r>
      <w:r w:rsidRPr="003441CD">
        <w:rPr>
          <w:rFonts w:ascii="Times New Roman" w:hAnsi="Times New Roman"/>
          <w:sz w:val="24"/>
          <w:szCs w:val="24"/>
        </w:rPr>
        <w:br/>
      </w:r>
      <w:r w:rsidRPr="003441CD">
        <w:rPr>
          <w:rFonts w:ascii="Times New Roman" w:hAnsi="Times New Roman"/>
          <w:sz w:val="24"/>
          <w:szCs w:val="24"/>
        </w:rPr>
        <w:br/>
      </w:r>
      <w:r w:rsidRPr="003441CD">
        <w:rPr>
          <w:rFonts w:ascii="Times New Roman" w:hAnsi="Times New Roman"/>
          <w:sz w:val="24"/>
          <w:szCs w:val="24"/>
        </w:rPr>
        <w:br/>
      </w:r>
      <w:r w:rsidRPr="003441CD">
        <w:rPr>
          <w:rFonts w:ascii="Times New Roman" w:hAnsi="Times New Roman"/>
          <w:sz w:val="24"/>
          <w:szCs w:val="24"/>
        </w:rPr>
        <w:br/>
      </w:r>
      <w:r w:rsidRPr="003441CD">
        <w:rPr>
          <w:rFonts w:ascii="Times New Roman" w:hAnsi="Times New Roman"/>
          <w:b/>
          <w:bCs/>
          <w:color w:val="000000"/>
          <w:sz w:val="20"/>
          <w:szCs w:val="20"/>
        </w:rPr>
        <w:t>LITERATURE</w:t>
      </w:r>
      <w:r w:rsidRPr="003441CD">
        <w:rPr>
          <w:rFonts w:ascii="Times New Roman" w:hAnsi="Times New Roman"/>
          <w:sz w:val="24"/>
          <w:szCs w:val="24"/>
        </w:rPr>
        <w:br/>
      </w:r>
      <w:r>
        <w:rPr>
          <w:rFonts w:ascii="Times New Roman" w:hAnsi="Times New Roman"/>
          <w:sz w:val="24"/>
          <w:szCs w:val="24"/>
        </w:rPr>
        <w:t xml:space="preserve">1. </w:t>
      </w:r>
      <w:r w:rsidRPr="003441CD">
        <w:rPr>
          <w:rFonts w:ascii="Times New Roman" w:hAnsi="Times New Roman"/>
          <w:color w:val="000000"/>
          <w:sz w:val="20"/>
          <w:szCs w:val="20"/>
        </w:rPr>
        <w:t xml:space="preserve">In this work, the protagonist’s brother steals change from a concession stand in the railroad station. Another character in this novel burns his living room to file a two thousand dollar claim and complains about his daughter-in-law Mimi. Later in this work, Jacinto helps catch giant lizards for a cowardly eagle, and Frazer asks the title character to pretend to be Trotsky’s nephew. The protagonist enlists in the merchant navy and becomes stuck in a lifeboat with Basteshaw, toward the end of this novel. Opening with the lines “I am an American, Chicago born,” this novel sees the title character grow up under the domination of Grandma Lausch and come to love Thea Fenchel. Written before </w:t>
      </w:r>
      <w:r w:rsidRPr="003441CD">
        <w:rPr>
          <w:rFonts w:ascii="Times New Roman" w:hAnsi="Times New Roman"/>
          <w:color w:val="000000"/>
          <w:sz w:val="20"/>
          <w:szCs w:val="20"/>
          <w:u w:val="single"/>
        </w:rPr>
        <w:t>Seize the Day</w:t>
      </w:r>
      <w:r w:rsidRPr="003441CD">
        <w:rPr>
          <w:rFonts w:ascii="Times New Roman" w:hAnsi="Times New Roman"/>
          <w:color w:val="000000"/>
          <w:sz w:val="20"/>
          <w:szCs w:val="20"/>
        </w:rPr>
        <w:t xml:space="preserve"> and </w:t>
      </w:r>
      <w:r w:rsidRPr="003441CD">
        <w:rPr>
          <w:rFonts w:ascii="Times New Roman" w:hAnsi="Times New Roman"/>
          <w:color w:val="000000"/>
          <w:sz w:val="20"/>
          <w:szCs w:val="20"/>
          <w:u w:val="single"/>
        </w:rPr>
        <w:t>Henderson the Rain King</w:t>
      </w:r>
      <w:r w:rsidRPr="003441CD">
        <w:rPr>
          <w:rFonts w:ascii="Times New Roman" w:hAnsi="Times New Roman"/>
          <w:color w:val="000000"/>
          <w:sz w:val="20"/>
          <w:szCs w:val="20"/>
        </w:rPr>
        <w:t>, for 10 points, name this best-known work of Saul Bellow.</w:t>
      </w:r>
      <w:r w:rsidRPr="003441CD">
        <w:rPr>
          <w:rFonts w:ascii="Times New Roman" w:hAnsi="Times New Roman"/>
          <w:sz w:val="24"/>
          <w:szCs w:val="24"/>
        </w:rPr>
        <w:br/>
      </w:r>
      <w:r w:rsidRPr="003441CD">
        <w:rPr>
          <w:rFonts w:ascii="Times New Roman" w:hAnsi="Times New Roman"/>
          <w:color w:val="000000"/>
          <w:sz w:val="20"/>
          <w:szCs w:val="20"/>
        </w:rPr>
        <w:t xml:space="preserve">ANSWER: The </w:t>
      </w:r>
      <w:r w:rsidRPr="003441CD">
        <w:rPr>
          <w:rFonts w:ascii="Times New Roman" w:hAnsi="Times New Roman"/>
          <w:b/>
          <w:bCs/>
          <w:color w:val="000000"/>
          <w:sz w:val="20"/>
          <w:szCs w:val="20"/>
          <w:u w:val="single"/>
        </w:rPr>
        <w:t>Adventures of Augie March</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 xml:space="preserve">2 </w:t>
      </w:r>
      <w:r w:rsidRPr="003441CD">
        <w:rPr>
          <w:rFonts w:ascii="Times New Roman" w:hAnsi="Times New Roman"/>
          <w:color w:val="000000"/>
          <w:sz w:val="20"/>
          <w:szCs w:val="20"/>
        </w:rPr>
        <w:t>One mayor of this city was defeated for reelection in 1885, since he had broken ranks the year before by supporting Grover Cleveland despite this city’s status as a Republican stronghold. During his term, that man attempted to remove Washington Roebling from a position of authority over a construction project, whose completion was celebrated in this city in 1883. At the time, this city was the third-largest in the US. The same mayor, Seth Low, later served as the first Fusion mayor of a consolidated municipality of which this city formed a part. The British nearly destroyed the Continental army at a battle in this city, when a flanking maneuver along the King’s Highway through Jamaica and Bedford almost succeeded in cutting off Washington’s evacuation across the East River in August 1776. For 10 points, name this once-independent city connected to New York by a namesake bridge.</w:t>
      </w:r>
    </w:p>
    <w:p w:rsidR="009A4EB5" w:rsidRDefault="009A4EB5" w:rsidP="00693B5F">
      <w:pPr>
        <w:spacing w:after="240" w:line="240" w:lineRule="auto"/>
        <w:rPr>
          <w:rFonts w:ascii="Times New Roman" w:hAnsi="Times New Roman"/>
          <w:color w:val="000000"/>
          <w:sz w:val="20"/>
          <w:szCs w:val="20"/>
        </w:rPr>
      </w:pP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Brooklyn</w:t>
      </w:r>
      <w:r w:rsidRPr="003441CD">
        <w:rPr>
          <w:rFonts w:ascii="Times New Roman" w:hAnsi="Times New Roman"/>
          <w:color w:val="000000"/>
          <w:sz w:val="20"/>
          <w:szCs w:val="20"/>
        </w:rPr>
        <w:t xml:space="preserve"> (do not prompt on “New York”)</w:t>
      </w:r>
      <w:r>
        <w:rPr>
          <w:rFonts w:ascii="Times New Roman" w:hAnsi="Times New Roman"/>
          <w:color w:val="000000"/>
          <w:sz w:val="20"/>
          <w:szCs w:val="20"/>
        </w:rPr>
        <w:t xml:space="preserve"> </w:t>
      </w:r>
    </w:p>
    <w:p w:rsidR="009A4EB5" w:rsidRDefault="009A4EB5" w:rsidP="003441CD">
      <w:pPr>
        <w:spacing w:after="240" w:line="240" w:lineRule="auto"/>
        <w:rPr>
          <w:rFonts w:ascii="Times New Roman" w:hAnsi="Times New Roman"/>
          <w:b/>
          <w:bCs/>
          <w:color w:val="000000"/>
          <w:sz w:val="20"/>
          <w:szCs w:val="20"/>
          <w:u w:val="single"/>
        </w:rPr>
      </w:pPr>
      <w:r>
        <w:rPr>
          <w:rFonts w:ascii="Times New Roman" w:hAnsi="Times New Roman"/>
          <w:sz w:val="24"/>
          <w:szCs w:val="24"/>
        </w:rPr>
        <w:t xml:space="preserve">3 </w:t>
      </w:r>
      <w:r w:rsidRPr="003441CD">
        <w:rPr>
          <w:rFonts w:ascii="Times New Roman" w:hAnsi="Times New Roman"/>
          <w:color w:val="000000"/>
          <w:sz w:val="20"/>
          <w:szCs w:val="20"/>
        </w:rPr>
        <w:t>One commandment in this work states “Be ye concretized and ever united, for by the power of unity ye shall demand respect of the nations.” In its chapter called the Presentation of the Law, a messenger from the Lord called Douglas robes a shepherd in four colors and tells him to administer the law to the children of Ethiopia. Its first book has only two chapters: The Creation and The Dead Become Alive. The third of its four books is called “Facts of the Apostles” and lists Robert Lincoln Poston and Henrietta Vinton Davis as apostles, while its second book lists Marcus Garvey as an apostle of God. For 10 points, name this text written by Shepherd Robert Athlyi Rogers, the man who founded the Afro Athlican Constructive Church, a text often called the holy scripture of the Rastafari movement.</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Holy Piby</w:t>
      </w:r>
    </w:p>
    <w:p w:rsidR="009A4EB5" w:rsidRPr="003441CD" w:rsidRDefault="009A4EB5" w:rsidP="003441CD">
      <w:pPr>
        <w:spacing w:after="240" w:line="240" w:lineRule="auto"/>
        <w:rPr>
          <w:rFonts w:ascii="Times New Roman" w:hAnsi="Times New Roman"/>
          <w:sz w:val="24"/>
          <w:szCs w:val="24"/>
        </w:rPr>
      </w:pPr>
      <w:r>
        <w:rPr>
          <w:rFonts w:ascii="Times New Roman" w:hAnsi="Times New Roman"/>
          <w:sz w:val="24"/>
          <w:szCs w:val="24"/>
        </w:rPr>
        <w:t xml:space="preserve">4 </w:t>
      </w:r>
      <w:r w:rsidRPr="003441CD">
        <w:rPr>
          <w:rFonts w:ascii="Times New Roman" w:hAnsi="Times New Roman"/>
          <w:color w:val="000000"/>
          <w:sz w:val="20"/>
          <w:szCs w:val="20"/>
        </w:rPr>
        <w:t>One method to obtain this compound sees an addition of DABCO to initiate Grob fragmentation on alcohol protected by silyl ether. Pinacol coupling and the Reformatsky reaction are used to close rings in another method of its synthesis. That reaction, which sees several instances of  aldol condensation, is named for a teacher of Kuwajima, who also developed a way to synthesize it. The final stage in its synthesis usually involves the tail addition of Ojima lactam. The core of this compound is baccatin III, and Danishevsky, Mukaiyama, and Holton have all successfully synthesized it. Bristol-Myers Squibb distributes this compound, which was originally isolated from the Pacific yew tree. It is useful because of  its ability to inhibit the breakdown of microtubules. For 10 points, total synthesis of what chemical used for cancer therapy is a major accomplishment in organic chemistry?</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Taxol</w:t>
      </w:r>
      <w:r w:rsidRPr="003441CD">
        <w:rPr>
          <w:rFonts w:ascii="Times New Roman" w:hAnsi="Times New Roman"/>
          <w:color w:val="000000"/>
          <w:sz w:val="20"/>
          <w:szCs w:val="20"/>
        </w:rPr>
        <w:t xml:space="preserve"> or </w:t>
      </w:r>
      <w:r w:rsidRPr="003441CD">
        <w:rPr>
          <w:rFonts w:ascii="Times New Roman" w:hAnsi="Times New Roman"/>
          <w:b/>
          <w:bCs/>
          <w:color w:val="000000"/>
          <w:sz w:val="20"/>
          <w:szCs w:val="20"/>
          <w:u w:val="single"/>
        </w:rPr>
        <w:t>Paclitaxel</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 xml:space="preserve">5 </w:t>
      </w:r>
      <w:r w:rsidRPr="003441CD">
        <w:rPr>
          <w:rFonts w:ascii="Times New Roman" w:hAnsi="Times New Roman"/>
          <w:color w:val="000000"/>
          <w:sz w:val="20"/>
          <w:szCs w:val="20"/>
        </w:rPr>
        <w:t xml:space="preserve">This work attacks the ontological idea of Rev. Tempels, which is critiqued along with Gorou and Yves Florenne. It suggests that if Vautrin had malaria and was accompanied by Uruguayan vampires he would be Maldoror as a defense of Lautreamont, who identified the cannibalistic “Creator” as the enemy. This work defends Levy-Bruhl’s rejection of his law of participation as part of its vitriolic attack on Roger Caillois after positing a law of “progressive dehumanization.” Published in 1955, it equates the title concept with  “thingification” and declares that Europe is indefensible, claiming its salvation would require a policy of nationalities or the Revolution that establishes the preponderance of the proletariat. Defending anti-capitalist civilizations such as Madagascar and the Bantu from the barbarism of European domination, for 10 points, name this work by Aime Cesaire. </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i/>
          <w:iCs/>
          <w:color w:val="000000"/>
          <w:sz w:val="20"/>
          <w:szCs w:val="20"/>
          <w:u w:val="single"/>
        </w:rPr>
        <w:t xml:space="preserve">Discourse on Colonialism </w:t>
      </w:r>
      <w:r w:rsidRPr="003441CD">
        <w:rPr>
          <w:rFonts w:ascii="Times New Roman" w:hAnsi="Times New Roman"/>
          <w:color w:val="000000"/>
          <w:sz w:val="20"/>
          <w:szCs w:val="20"/>
        </w:rPr>
        <w:t xml:space="preserve">or </w:t>
      </w:r>
      <w:r w:rsidRPr="003441CD">
        <w:rPr>
          <w:rFonts w:ascii="Times New Roman" w:hAnsi="Times New Roman"/>
          <w:b/>
          <w:bCs/>
          <w:i/>
          <w:iCs/>
          <w:color w:val="000000"/>
          <w:sz w:val="20"/>
          <w:szCs w:val="20"/>
          <w:u w:val="single"/>
        </w:rPr>
        <w:t>Discours sur Colonialisme</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6 O</w:t>
      </w:r>
      <w:r w:rsidRPr="003441CD">
        <w:rPr>
          <w:rFonts w:ascii="Times New Roman" w:hAnsi="Times New Roman"/>
          <w:color w:val="000000"/>
          <w:sz w:val="20"/>
          <w:szCs w:val="20"/>
        </w:rPr>
        <w:t xml:space="preserve">ne man with this cognomen was awarded the agnomen Asina after having his fleet trapped in a harbor by the admiral Hannibal Gisco, after which he was captured just off Lipari Island. Another man with this cognomen was the father in law of Tiberius Gracchus the Elder, since his daughter Cornelia was the mother of the Gracchi. Yet another person with this name fought alongside his father Paullus Macedonicus at the Battle of Pydna, before being adopted and losing his original cognomen. That man surrounded himself with figures like the Stoic Panaetius and the historian Polybius, and was responsible for meeting Cato’s demand that a certain city “delenda est.” For 10 points give this Roman name held by a man also known by the name Aemilianus and one who defeated Hannibal at Zama, earning the agnomen Africanus. </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Scipio</w:t>
      </w:r>
      <w:r w:rsidRPr="003441CD">
        <w:rPr>
          <w:rFonts w:ascii="Times New Roman" w:hAnsi="Times New Roman"/>
          <w:sz w:val="24"/>
          <w:szCs w:val="24"/>
        </w:rPr>
        <w:br/>
      </w:r>
    </w:p>
    <w:p w:rsidR="009A4EB5" w:rsidRPr="003441CD" w:rsidRDefault="009A4EB5" w:rsidP="00693B5F">
      <w:pPr>
        <w:spacing w:after="0" w:line="240" w:lineRule="auto"/>
        <w:rPr>
          <w:rFonts w:ascii="Times New Roman" w:hAnsi="Times New Roman"/>
          <w:sz w:val="24"/>
          <w:szCs w:val="24"/>
        </w:rPr>
      </w:pPr>
      <w:r>
        <w:rPr>
          <w:rFonts w:ascii="Times New Roman" w:hAnsi="Times New Roman"/>
          <w:color w:val="000000"/>
          <w:sz w:val="20"/>
          <w:szCs w:val="20"/>
        </w:rPr>
        <w:t xml:space="preserve">7 </w:t>
      </w:r>
      <w:r w:rsidRPr="003441CD">
        <w:rPr>
          <w:rFonts w:ascii="Times New Roman" w:hAnsi="Times New Roman"/>
          <w:color w:val="000000"/>
          <w:sz w:val="20"/>
          <w:szCs w:val="20"/>
        </w:rPr>
        <w:t>The Arabat Spit, the longest spit in the world, is part of this geographical feature, and Roman-Kosh is an ultra-prominent peak on this feature. A lighthouse at Cape Sarych on this geographical feature has been under foreign occupation since 2005. The Isthmus of Perekop separates this feature from the mainland, and at its eastern tip, the Kerch Peninsula is seven miles from the Taman Peninsula, across a body of water known in ancient times as the Cimmerian Bosporus, which is overlooked by Mount Mithridates. That channel separates the Sea of Azov from the Black Sea. For 10 points, Yalta and Sevastopol are located on this peninsula now in southern Ukraine, where a namesake 19th century war was fought.</w:t>
      </w:r>
    </w:p>
    <w:p w:rsidR="009A4EB5" w:rsidRPr="003441CD" w:rsidRDefault="009A4EB5" w:rsidP="00693B5F">
      <w:pPr>
        <w:spacing w:after="0" w:line="240" w:lineRule="auto"/>
        <w:rPr>
          <w:rFonts w:ascii="Times New Roman" w:hAnsi="Times New Roman"/>
          <w:sz w:val="24"/>
          <w:szCs w:val="24"/>
        </w:rPr>
      </w:pP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Crimea</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 xml:space="preserve">8 </w:t>
      </w:r>
      <w:r w:rsidRPr="003441CD">
        <w:rPr>
          <w:rFonts w:ascii="Times New Roman" w:hAnsi="Times New Roman"/>
          <w:color w:val="000000"/>
          <w:sz w:val="20"/>
          <w:szCs w:val="20"/>
        </w:rPr>
        <w:t>During one battle this figure spared the life of Bres after Bres agreed to teach agriculture to this figure’s people. The Golden Apples of the Hesperides and a magical pig skin were demanded as payment by this figure from the men who killed his father. This figure later refused to use that magic pig skin to heal the sons of Tuireann who had killed this figure’s father Cian when Cian tried to hide by transforming himself into a pig. In another story, this figure repairs a roof as part of winning a flagstone throwing contest against Ogma. This man gained entrance to Tara not because of any particular skill, but because he possessed them all, and he is thought to be the original namesake of Lyon. At the Second Battle of Moytura this figure killed Balor of the Evil Eye with his sling. For 10 points, name this Celtic god who fathered Cu Chulainn and is known as the “long-armed” because of his proficiency with a spear.</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 xml:space="preserve">Lugh </w:t>
      </w:r>
      <w:r w:rsidRPr="003441CD">
        <w:rPr>
          <w:rFonts w:ascii="Times New Roman" w:hAnsi="Times New Roman"/>
          <w:color w:val="000000"/>
          <w:sz w:val="20"/>
          <w:szCs w:val="20"/>
        </w:rPr>
        <w:t>of the Long Arm or Lu</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 xml:space="preserve">9 </w:t>
      </w:r>
      <w:r w:rsidRPr="003441CD">
        <w:rPr>
          <w:rFonts w:ascii="Times New Roman" w:hAnsi="Times New Roman"/>
          <w:color w:val="000000"/>
          <w:sz w:val="20"/>
          <w:szCs w:val="20"/>
        </w:rPr>
        <w:t xml:space="preserve">One theory of these phenomena uses kinetic enthalpy and the Riemann function as dependent variables and makes the peak approximation that the pressure is initially exponential with time; that theory was developed by Kirkwood and Bethe. As the importance of internal and potential energies increases, so does the deviation of the limiting value of the density ratio from its value of 4 in the case of a monatomic gas. Their interaction with the interface of different materials gives rise to the Richtmeyer-Meshkov and Rayleigh-Taylor instabilities, and the continuity of the flux of mass, momentum, and energy is expressed in the Rankine-Huguniot relations, which also describe their jump conditions. Described by their fronts, for 10 points, name these propagating disturbances. </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Shock Wave</w:t>
      </w:r>
      <w:r w:rsidRPr="003441CD">
        <w:rPr>
          <w:rFonts w:ascii="Times New Roman" w:hAnsi="Times New Roman"/>
          <w:color w:val="000000"/>
          <w:sz w:val="20"/>
          <w:szCs w:val="20"/>
        </w:rPr>
        <w:t>s</w:t>
      </w:r>
      <w:r w:rsidRPr="003441CD">
        <w:rPr>
          <w:rFonts w:ascii="Times New Roman" w:hAnsi="Times New Roman"/>
          <w:sz w:val="24"/>
          <w:szCs w:val="24"/>
        </w:rPr>
        <w:br/>
      </w:r>
      <w:r w:rsidRPr="003441CD">
        <w:rPr>
          <w:rFonts w:ascii="Times New Roman" w:hAnsi="Times New Roman"/>
          <w:sz w:val="24"/>
          <w:szCs w:val="24"/>
        </w:rPr>
        <w:br/>
      </w:r>
    </w:p>
    <w:p w:rsidR="009A4EB5" w:rsidRPr="003441CD" w:rsidRDefault="009A4EB5" w:rsidP="00693B5F">
      <w:pPr>
        <w:spacing w:after="0" w:line="240" w:lineRule="auto"/>
        <w:rPr>
          <w:rFonts w:ascii="Times New Roman" w:hAnsi="Times New Roman"/>
          <w:sz w:val="24"/>
          <w:szCs w:val="24"/>
        </w:rPr>
      </w:pPr>
      <w:r>
        <w:rPr>
          <w:rFonts w:ascii="Times New Roman" w:hAnsi="Times New Roman"/>
          <w:color w:val="000000"/>
          <w:sz w:val="20"/>
          <w:szCs w:val="20"/>
        </w:rPr>
        <w:t xml:space="preserve">10 </w:t>
      </w:r>
      <w:r w:rsidRPr="003441CD">
        <w:rPr>
          <w:rFonts w:ascii="Times New Roman" w:hAnsi="Times New Roman"/>
          <w:color w:val="000000"/>
          <w:sz w:val="20"/>
          <w:szCs w:val="20"/>
        </w:rPr>
        <w:t xml:space="preserve">In this work, the author uses William James’s idea that the feeling of effort is centripetal rather than centrifugal to show that the common-sense concept of “muscular effort” is misguided. The author argues that the notion of intensive magnitudes is an illusion and rejects psychophysics of Fechner. In the more important second chapter, the author discusses the “impenetrability of matter” as evidence for his distinction between quantitative and qualitative multiplicity. The author attacks the interpretation of space and time in </w:t>
      </w:r>
      <w:r w:rsidRPr="003441CD">
        <w:rPr>
          <w:rFonts w:ascii="Times New Roman" w:hAnsi="Times New Roman"/>
          <w:color w:val="000000"/>
          <w:sz w:val="20"/>
          <w:szCs w:val="20"/>
          <w:u w:val="single"/>
        </w:rPr>
        <w:t>Transcendental Aesthetics</w:t>
      </w:r>
      <w:r w:rsidRPr="003441CD">
        <w:rPr>
          <w:rFonts w:ascii="Times New Roman" w:hAnsi="Times New Roman"/>
          <w:color w:val="000000"/>
          <w:sz w:val="20"/>
          <w:szCs w:val="20"/>
        </w:rPr>
        <w:t xml:space="preserve"> and argues that the first title concept is heterogeneous and uncountable. The author later used metaphors of two spools, the color spectrum, and an elastic band to illustrate the most important concept in this work, duration. For 10 points, what “Essay on the Immediate Data of Consciousness” was the first important work of Henri Bergson?</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Time and Free Will</w:t>
      </w:r>
      <w:r w:rsidRPr="003441CD">
        <w:rPr>
          <w:rFonts w:ascii="Times New Roman" w:hAnsi="Times New Roman"/>
          <w:color w:val="000000"/>
          <w:sz w:val="20"/>
          <w:szCs w:val="20"/>
        </w:rPr>
        <w:t>: An Essay on the Immediate Data of Consciousness [Essai sur les données immédiates de la conscience]</w:t>
      </w:r>
    </w:p>
    <w:p w:rsidR="009A4EB5" w:rsidRPr="003441CD" w:rsidRDefault="009A4EB5" w:rsidP="003441CD">
      <w:pPr>
        <w:spacing w:after="0" w:line="240" w:lineRule="auto"/>
        <w:rPr>
          <w:rFonts w:ascii="Times New Roman" w:hAnsi="Times New Roman"/>
          <w:sz w:val="24"/>
          <w:szCs w:val="24"/>
        </w:rPr>
      </w:pPr>
    </w:p>
    <w:p w:rsidR="009A4EB5" w:rsidRPr="003441CD" w:rsidRDefault="009A4EB5" w:rsidP="003441CD">
      <w:pPr>
        <w:spacing w:after="0" w:line="240" w:lineRule="auto"/>
        <w:jc w:val="both"/>
        <w:rPr>
          <w:rFonts w:ascii="Times New Roman" w:hAnsi="Times New Roman"/>
          <w:sz w:val="24"/>
          <w:szCs w:val="24"/>
        </w:rPr>
      </w:pPr>
      <w:r>
        <w:rPr>
          <w:rFonts w:ascii="Times New Roman" w:hAnsi="Times New Roman"/>
          <w:color w:val="000000"/>
          <w:sz w:val="20"/>
          <w:szCs w:val="20"/>
        </w:rPr>
        <w:t xml:space="preserve">11 </w:t>
      </w:r>
      <w:r w:rsidRPr="003441CD">
        <w:rPr>
          <w:rFonts w:ascii="Times New Roman" w:hAnsi="Times New Roman"/>
          <w:color w:val="000000"/>
          <w:sz w:val="20"/>
          <w:szCs w:val="20"/>
        </w:rPr>
        <w:t>A 1066 riot in this city against the administration of Joseph ben Naghrela resulted in his crucifixion and the killing of 4000 of his fellow Jews. An uprising that had backing from Algiers began in this city on Christmas 1568 and, although it initially lacked support in the Albaicin, it spread because military recruiting for the Duke of Alva’s campaigns in the Netherlands weakened royal authority in the region surrounding this city. That rebellion was eventually pacified by Don John of Austria. In violation of a treaty signed the previous year, a decree expelling Jews was issued from this city three months after it was transferred to Aragonese-Castilian control in 1492. For 10 points, name this site of the Alhambra, the last city to fall to Catholic Spain during the Reconquista.</w:t>
      </w:r>
    </w:p>
    <w:p w:rsidR="009A4EB5" w:rsidRPr="003441CD" w:rsidRDefault="009A4EB5" w:rsidP="003441CD">
      <w:pPr>
        <w:spacing w:after="0" w:line="240" w:lineRule="auto"/>
        <w:jc w:val="both"/>
        <w:rPr>
          <w:rFonts w:ascii="Times New Roman" w:hAnsi="Times New Roman"/>
          <w:sz w:val="24"/>
          <w:szCs w:val="24"/>
        </w:rPr>
      </w:pP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Granada</w:t>
      </w:r>
    </w:p>
    <w:p w:rsidR="009A4EB5" w:rsidRPr="003441CD" w:rsidRDefault="009A4EB5" w:rsidP="003441CD">
      <w:pPr>
        <w:spacing w:after="0" w:line="240" w:lineRule="auto"/>
        <w:rPr>
          <w:rFonts w:ascii="Times New Roman" w:hAnsi="Times New Roman"/>
          <w:sz w:val="24"/>
          <w:szCs w:val="24"/>
        </w:rPr>
      </w:pPr>
    </w:p>
    <w:p w:rsidR="009A4EB5" w:rsidRPr="003441CD" w:rsidRDefault="009A4EB5" w:rsidP="00693B5F">
      <w:pPr>
        <w:spacing w:after="0" w:line="240" w:lineRule="auto"/>
        <w:jc w:val="both"/>
        <w:rPr>
          <w:rFonts w:ascii="Times New Roman" w:hAnsi="Times New Roman"/>
          <w:sz w:val="24"/>
          <w:szCs w:val="24"/>
        </w:rPr>
      </w:pPr>
      <w:r>
        <w:rPr>
          <w:rFonts w:ascii="Times New Roman" w:hAnsi="Times New Roman"/>
          <w:color w:val="000000"/>
          <w:sz w:val="20"/>
          <w:szCs w:val="20"/>
        </w:rPr>
        <w:t xml:space="preserve">12 </w:t>
      </w:r>
      <w:r w:rsidRPr="003441CD">
        <w:rPr>
          <w:rFonts w:ascii="Times New Roman" w:hAnsi="Times New Roman"/>
          <w:color w:val="000000"/>
          <w:sz w:val="20"/>
          <w:szCs w:val="20"/>
        </w:rPr>
        <w:t>The stretching of the earth’s crust “behind” these features can form oceanic basins through a process called “trench rollback.” These features are formed by the melting action on the ultra-mafic rock at the base of an overriding tectonic plate, as a subducting plate traps supercritical water and thus produces buoyant magma that rises to form these features. These features are thus found parallel to subduction zones and oceanic trenches and can be either “continental” or “island” depending on which side of the zone these features form. For 10 points, name these volcanic features, distinguished from hotspots, that form in chains, such as the Aleutian Islands and the Cascade Range.</w:t>
      </w:r>
    </w:p>
    <w:p w:rsidR="009A4EB5" w:rsidRPr="003441CD" w:rsidRDefault="009A4EB5" w:rsidP="00693B5F">
      <w:pPr>
        <w:spacing w:after="0" w:line="240" w:lineRule="auto"/>
        <w:jc w:val="both"/>
        <w:rPr>
          <w:rFonts w:ascii="Times New Roman" w:hAnsi="Times New Roman"/>
          <w:sz w:val="24"/>
          <w:szCs w:val="24"/>
        </w:rPr>
      </w:pP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arc</w:t>
      </w:r>
      <w:r w:rsidRPr="003441CD">
        <w:rPr>
          <w:rFonts w:ascii="Times New Roman" w:hAnsi="Times New Roman"/>
          <w:color w:val="000000"/>
          <w:sz w:val="20"/>
          <w:szCs w:val="20"/>
        </w:rPr>
        <w:t>s (accept “volcanic arcs,” “island arcs,” or “continental arcs”)</w:t>
      </w:r>
    </w:p>
    <w:p w:rsidR="009A4EB5" w:rsidRPr="003441CD" w:rsidRDefault="009A4EB5" w:rsidP="003441CD">
      <w:pPr>
        <w:spacing w:after="0" w:line="240" w:lineRule="auto"/>
        <w:rPr>
          <w:rFonts w:ascii="Times New Roman" w:hAnsi="Times New Roman"/>
          <w:sz w:val="24"/>
          <w:szCs w:val="24"/>
        </w:rPr>
      </w:pPr>
    </w:p>
    <w:p w:rsidR="009A4EB5" w:rsidRPr="003441CD" w:rsidRDefault="009A4EB5" w:rsidP="003441CD">
      <w:pPr>
        <w:spacing w:after="0" w:line="240" w:lineRule="auto"/>
        <w:jc w:val="both"/>
        <w:rPr>
          <w:rFonts w:ascii="Times New Roman" w:hAnsi="Times New Roman"/>
          <w:sz w:val="24"/>
          <w:szCs w:val="24"/>
        </w:rPr>
      </w:pPr>
      <w:r>
        <w:rPr>
          <w:rFonts w:ascii="Times New Roman" w:hAnsi="Times New Roman"/>
          <w:color w:val="000000"/>
          <w:sz w:val="20"/>
          <w:szCs w:val="20"/>
        </w:rPr>
        <w:t xml:space="preserve">13 </w:t>
      </w:r>
      <w:r w:rsidRPr="003441CD">
        <w:rPr>
          <w:rFonts w:ascii="Times New Roman" w:hAnsi="Times New Roman"/>
          <w:color w:val="000000"/>
          <w:sz w:val="20"/>
          <w:szCs w:val="20"/>
        </w:rPr>
        <w:t>One man by this name clashed with Sir Evelyn Baring and Herbert Kitchener and was eventually overthrown by the British at the outset of World War I; that man by this name was the last Khedive of Egypt. Another man by this name was appointed Prime Minister in 2003 at the expense of Marwan Barghouti, who remains in prison. A ruler by this name was used as a figurehead by Murshid Khan, a member of the Qizilbash, but he claimed power for himself and captured Hormuz from the Portuguese and Tabriz from the Ottomans. For 10 points, what is this name shared by the current chairman of the PLO, a Safavid emperor known as “the Great,” and one of the prophet Muhammad’s uncles, who gave his name to a dynasty that ruled the Islamic world from Baghdad after 750?</w:t>
      </w:r>
    </w:p>
    <w:p w:rsidR="009A4EB5" w:rsidRPr="003441CD" w:rsidRDefault="009A4EB5" w:rsidP="003441CD">
      <w:pPr>
        <w:spacing w:after="0" w:line="240" w:lineRule="auto"/>
        <w:jc w:val="both"/>
        <w:rPr>
          <w:rFonts w:ascii="Times New Roman" w:hAnsi="Times New Roman"/>
          <w:sz w:val="24"/>
          <w:szCs w:val="24"/>
        </w:rPr>
      </w:pP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Abbas</w:t>
      </w:r>
    </w:p>
    <w:p w:rsidR="009A4EB5" w:rsidRDefault="009A4EB5" w:rsidP="003441CD">
      <w:pPr>
        <w:spacing w:after="0" w:line="240" w:lineRule="auto"/>
        <w:rPr>
          <w:rFonts w:ascii="Times New Roman" w:hAnsi="Times New Roman"/>
          <w:sz w:val="24"/>
          <w:szCs w:val="24"/>
        </w:rPr>
      </w:pPr>
      <w:r w:rsidRPr="003441CD">
        <w:rPr>
          <w:rFonts w:ascii="Times New Roman" w:hAnsi="Times New Roman"/>
          <w:sz w:val="24"/>
          <w:szCs w:val="24"/>
        </w:rPr>
        <w:br/>
      </w:r>
      <w:r>
        <w:rPr>
          <w:rFonts w:ascii="Times New Roman" w:hAnsi="Times New Roman"/>
          <w:sz w:val="24"/>
          <w:szCs w:val="24"/>
        </w:rPr>
        <w:t xml:space="preserve">14 </w:t>
      </w:r>
      <w:r w:rsidRPr="003441CD">
        <w:rPr>
          <w:rFonts w:ascii="Times New Roman" w:hAnsi="Times New Roman"/>
          <w:color w:val="000000"/>
          <w:sz w:val="20"/>
          <w:szCs w:val="20"/>
        </w:rPr>
        <w:t xml:space="preserve">This work’s second version suppresses the title character’s appearance in the final act and contains a preface citing the third book of the Aeneid as a source and praising the boldness of Euripides’ </w:t>
      </w:r>
      <w:r w:rsidRPr="003441CD">
        <w:rPr>
          <w:rFonts w:ascii="Times New Roman" w:hAnsi="Times New Roman"/>
          <w:i/>
          <w:iCs/>
          <w:color w:val="000000"/>
          <w:sz w:val="20"/>
          <w:szCs w:val="20"/>
        </w:rPr>
        <w:t>Helen</w:t>
      </w:r>
      <w:r w:rsidRPr="003441CD">
        <w:rPr>
          <w:rFonts w:ascii="Times New Roman" w:hAnsi="Times New Roman"/>
          <w:color w:val="000000"/>
          <w:sz w:val="20"/>
          <w:szCs w:val="20"/>
        </w:rPr>
        <w:t>. In the final scene, one character is borne away by his soldiers when he suggests the deceased object of his love should devour his heart after he has visions of blood and the Furies. Phoenix disapproves of his lord’s love for the title character, who in Act 3, Scene 8 visits her dead husband’s tomb at the urging of Cephise. At this play’s close, Pylades reports the title character has been recognized as Queen, though she had originally planned to commit suicide after convincing the King of Epirus to protect her son Astyanax. For 10 points, Pyrrhus is killed by the Greek followers of Oreste at the instigation of Hermione in what Jean Racine play about the wife of Hector?</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i/>
          <w:iCs/>
          <w:color w:val="000000"/>
          <w:sz w:val="20"/>
          <w:szCs w:val="20"/>
          <w:u w:val="single"/>
        </w:rPr>
        <w:t>Andromaque</w:t>
      </w:r>
      <w:r w:rsidRPr="003441CD">
        <w:rPr>
          <w:rFonts w:ascii="Times New Roman" w:hAnsi="Times New Roman"/>
          <w:color w:val="000000"/>
          <w:sz w:val="20"/>
          <w:szCs w:val="20"/>
        </w:rPr>
        <w:t xml:space="preserve"> or </w:t>
      </w:r>
      <w:r w:rsidRPr="003441CD">
        <w:rPr>
          <w:rFonts w:ascii="Times New Roman" w:hAnsi="Times New Roman"/>
          <w:b/>
          <w:bCs/>
          <w:i/>
          <w:iCs/>
          <w:color w:val="000000"/>
          <w:sz w:val="20"/>
          <w:szCs w:val="20"/>
          <w:u w:val="single"/>
        </w:rPr>
        <w:t>Andromache</w:t>
      </w:r>
      <w:r>
        <w:rPr>
          <w:rFonts w:ascii="Times New Roman" w:hAnsi="Times New Roman"/>
          <w:b/>
          <w:bCs/>
          <w:i/>
          <w:iCs/>
          <w:color w:val="000000"/>
          <w:sz w:val="20"/>
          <w:szCs w:val="20"/>
          <w:u w:val="single"/>
        </w:rPr>
        <w:t xml:space="preserve"> </w:t>
      </w:r>
      <w:r w:rsidRPr="003441CD">
        <w:rPr>
          <w:rFonts w:ascii="Times New Roman" w:hAnsi="Times New Roman"/>
          <w:sz w:val="24"/>
          <w:szCs w:val="24"/>
        </w:rPr>
        <w:br/>
      </w:r>
    </w:p>
    <w:p w:rsidR="009A4EB5" w:rsidRPr="003441CD" w:rsidRDefault="009A4EB5" w:rsidP="00693B5F">
      <w:pPr>
        <w:spacing w:after="0" w:line="240" w:lineRule="auto"/>
        <w:rPr>
          <w:rFonts w:ascii="Times New Roman" w:hAnsi="Times New Roman"/>
          <w:sz w:val="24"/>
          <w:szCs w:val="24"/>
        </w:rPr>
      </w:pPr>
      <w:r>
        <w:rPr>
          <w:rFonts w:ascii="Times New Roman" w:hAnsi="Times New Roman"/>
          <w:color w:val="000000"/>
          <w:sz w:val="20"/>
          <w:szCs w:val="20"/>
        </w:rPr>
        <w:t xml:space="preserve">15 </w:t>
      </w:r>
      <w:r w:rsidRPr="003441CD">
        <w:rPr>
          <w:rFonts w:ascii="Times New Roman" w:hAnsi="Times New Roman"/>
          <w:color w:val="000000"/>
          <w:sz w:val="20"/>
          <w:szCs w:val="20"/>
        </w:rPr>
        <w:t xml:space="preserve">This character mocks Mr. Smith’s ignorance of the mythological significance of Hayden’s paintings at Vauxhall, and reports a debate about the virtues of Angelica after a scandalizing performance of </w:t>
      </w:r>
      <w:r w:rsidRPr="003441CD">
        <w:rPr>
          <w:rFonts w:ascii="Times New Roman" w:hAnsi="Times New Roman"/>
          <w:i/>
          <w:iCs/>
          <w:color w:val="000000"/>
          <w:sz w:val="20"/>
          <w:szCs w:val="20"/>
        </w:rPr>
        <w:t>Love for Love</w:t>
      </w:r>
      <w:r w:rsidRPr="003441CD">
        <w:rPr>
          <w:rFonts w:ascii="Times New Roman" w:hAnsi="Times New Roman"/>
          <w:color w:val="000000"/>
          <w:sz w:val="20"/>
          <w:szCs w:val="20"/>
        </w:rPr>
        <w:t xml:space="preserve">. After accompanying Mrs. Selwyn to the Clifton Hill home of Mrs. Beaumont, she witnesses a piqued conversation between Lord Merton and Louisa Larpent. She jilts the vengeful Mr. Lovel and encounters Sir Clement Willoughby at the </w:t>
      </w:r>
      <w:r w:rsidRPr="003441CD">
        <w:rPr>
          <w:rFonts w:ascii="Times New Roman" w:hAnsi="Times New Roman"/>
          <w:i/>
          <w:iCs/>
          <w:color w:val="000000"/>
          <w:sz w:val="20"/>
          <w:szCs w:val="20"/>
        </w:rPr>
        <w:t>ridotto</w:t>
      </w:r>
      <w:r w:rsidRPr="003441CD">
        <w:rPr>
          <w:rFonts w:ascii="Times New Roman" w:hAnsi="Times New Roman"/>
          <w:color w:val="000000"/>
          <w:sz w:val="20"/>
          <w:szCs w:val="20"/>
        </w:rPr>
        <w:t xml:space="preserve">, while the revelation that this character had been switched with the daughter of her wetnurse Dame Polly Green at birth allows Mr. Macartney to marry his beloved as well as reinstating this character as heir to Sir John Belmont. This friend of Maria Mirvan ultimately marries Lord Orville, after which she takes a trip to see Reverend Villars. For 10 points, name this title character of an epistolary Fanny Burney novel. </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Evelina Anville</w:t>
      </w:r>
      <w:r w:rsidRPr="003441CD">
        <w:rPr>
          <w:rFonts w:ascii="Times New Roman" w:hAnsi="Times New Roman"/>
          <w:color w:val="000000"/>
          <w:sz w:val="20"/>
          <w:szCs w:val="20"/>
        </w:rPr>
        <w:t xml:space="preserve"> [accept either]</w:t>
      </w:r>
    </w:p>
    <w:p w:rsidR="009A4EB5" w:rsidRPr="003441CD" w:rsidRDefault="009A4EB5" w:rsidP="00693B5F">
      <w:pPr>
        <w:spacing w:after="0" w:line="240" w:lineRule="auto"/>
        <w:rPr>
          <w:rFonts w:ascii="Times New Roman" w:hAnsi="Times New Roman"/>
          <w:sz w:val="24"/>
          <w:szCs w:val="24"/>
        </w:rPr>
      </w:pPr>
      <w:r w:rsidRPr="003441CD">
        <w:rPr>
          <w:rFonts w:ascii="Times New Roman" w:hAnsi="Times New Roman"/>
          <w:sz w:val="24"/>
          <w:szCs w:val="24"/>
        </w:rPr>
        <w:br/>
      </w:r>
      <w:r>
        <w:rPr>
          <w:rFonts w:ascii="Times New Roman" w:hAnsi="Times New Roman"/>
          <w:sz w:val="24"/>
          <w:szCs w:val="24"/>
        </w:rPr>
        <w:t xml:space="preserve">16 </w:t>
      </w:r>
      <w:r w:rsidRPr="003441CD">
        <w:rPr>
          <w:rFonts w:ascii="Times New Roman" w:hAnsi="Times New Roman"/>
          <w:color w:val="000000"/>
          <w:sz w:val="20"/>
          <w:szCs w:val="20"/>
        </w:rPr>
        <w:t xml:space="preserve">In the preface of this work, the author claims that rumination is quality necessary to be a cow but not a modern man. The author argues that one must distinguish between </w:t>
      </w:r>
      <w:r w:rsidRPr="003441CD">
        <w:rPr>
          <w:rFonts w:ascii="Times New Roman" w:hAnsi="Times New Roman"/>
          <w:i/>
          <w:iCs/>
          <w:color w:val="000000"/>
          <w:sz w:val="20"/>
          <w:szCs w:val="20"/>
        </w:rPr>
        <w:t xml:space="preserve">cause fiendi </w:t>
      </w:r>
      <w:r w:rsidRPr="003441CD">
        <w:rPr>
          <w:rFonts w:ascii="Times New Roman" w:hAnsi="Times New Roman"/>
          <w:color w:val="000000"/>
          <w:sz w:val="20"/>
          <w:szCs w:val="20"/>
        </w:rPr>
        <w:t>and purpose of a certain phenomenon, and earlier notes that the word “schlicht” originally meant plebian. He comments that to demand that an eagle not swoop down on a lamb is absurd. Beginning with the assertion that the English psychologists “themselves are interesting,” it notes the role of pain as a mnemonic device and hypothesizes that a certain relationship arose out of the debtor-creditor relationship. Its third section denounces the ascetic ideals. For 10 points, the Jewish transvaluation of the aristocratic equation of good, beautiful, and noble into slave-morality that opposes good and evil is the central topic of what work by Nietzsche?</w:t>
      </w:r>
      <w:r w:rsidRPr="003441CD">
        <w:rPr>
          <w:rFonts w:ascii="Times New Roman" w:hAnsi="Times New Roman"/>
          <w:sz w:val="24"/>
          <w:szCs w:val="24"/>
        </w:rPr>
        <w:br/>
      </w:r>
      <w:r>
        <w:rPr>
          <w:rFonts w:ascii="Times New Roman" w:hAnsi="Times New Roman"/>
          <w:color w:val="000000"/>
          <w:sz w:val="20"/>
          <w:szCs w:val="20"/>
        </w:rPr>
        <w:t xml:space="preserve">ANSWER: </w:t>
      </w:r>
      <w:r w:rsidRPr="003441CD">
        <w:rPr>
          <w:rFonts w:ascii="Times New Roman" w:hAnsi="Times New Roman"/>
          <w:color w:val="000000"/>
          <w:sz w:val="20"/>
          <w:szCs w:val="20"/>
        </w:rPr>
        <w:t>On</w:t>
      </w:r>
      <w:r>
        <w:rPr>
          <w:rFonts w:ascii="Times New Roman" w:hAnsi="Times New Roman"/>
          <w:color w:val="000000"/>
          <w:sz w:val="20"/>
          <w:szCs w:val="20"/>
        </w:rPr>
        <w:t xml:space="preserve"> </w:t>
      </w:r>
      <w:r w:rsidRPr="003441CD">
        <w:rPr>
          <w:rFonts w:ascii="Times New Roman" w:hAnsi="Times New Roman"/>
          <w:color w:val="000000"/>
          <w:sz w:val="20"/>
          <w:szCs w:val="20"/>
        </w:rPr>
        <w:t xml:space="preserve">the </w:t>
      </w:r>
      <w:r w:rsidRPr="003441CD">
        <w:rPr>
          <w:rFonts w:ascii="Times New Roman" w:hAnsi="Times New Roman"/>
          <w:b/>
          <w:bCs/>
          <w:color w:val="000000"/>
          <w:sz w:val="20"/>
          <w:szCs w:val="20"/>
          <w:u w:val="single"/>
        </w:rPr>
        <w:t>Geneaology of Morals</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17</w:t>
      </w:r>
      <w:r w:rsidRPr="00693B5F">
        <w:rPr>
          <w:rFonts w:ascii="Times New Roman" w:hAnsi="Times New Roman"/>
          <w:color w:val="000000"/>
          <w:sz w:val="20"/>
          <w:szCs w:val="20"/>
        </w:rPr>
        <w:t xml:space="preserve"> </w:t>
      </w:r>
      <w:r w:rsidRPr="003441CD">
        <w:rPr>
          <w:rFonts w:ascii="Times New Roman" w:hAnsi="Times New Roman"/>
          <w:color w:val="000000"/>
          <w:sz w:val="20"/>
          <w:szCs w:val="20"/>
        </w:rPr>
        <w:t>One of this man’s knights was Philippe de Commines, a chronicler who eventually switched sides after gaining the notice of this man’s greatest enemy at the negotiations for the Treaty of Peronne. Shortly thereafter, this man was aggrieved by the annexation of towns along the Somme which had been granted to his father by the Treaty of Arras. This man’s third marriage, to Margaret of York, cemented the pro-English policy that ultimately saw the eclipse of the polity he ruled after the League of the Public Weal, which this man masterminded along with the Duke of Berry, was foiled by Louis XI. For 10 points, name this last Valois Duke of an independent Burgundy, who shares his baptismal name with a negtrocious Illinois quizbowler.</w:t>
      </w:r>
    </w:p>
    <w:p w:rsidR="009A4EB5" w:rsidRDefault="009A4EB5" w:rsidP="00693B5F">
      <w:pPr>
        <w:rPr>
          <w:rFonts w:ascii="Times New Roman" w:hAnsi="Times New Roman"/>
          <w:sz w:val="24"/>
          <w:szCs w:val="24"/>
        </w:rPr>
      </w:pP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Charles</w:t>
      </w:r>
      <w:r w:rsidRPr="003441CD">
        <w:rPr>
          <w:rFonts w:ascii="Times New Roman" w:hAnsi="Times New Roman"/>
          <w:color w:val="000000"/>
          <w:sz w:val="20"/>
          <w:szCs w:val="20"/>
        </w:rPr>
        <w:t xml:space="preserve"> the </w:t>
      </w:r>
      <w:r w:rsidRPr="003441CD">
        <w:rPr>
          <w:rFonts w:ascii="Times New Roman" w:hAnsi="Times New Roman"/>
          <w:b/>
          <w:bCs/>
          <w:color w:val="000000"/>
          <w:sz w:val="20"/>
          <w:szCs w:val="20"/>
          <w:u w:val="single"/>
        </w:rPr>
        <w:t xml:space="preserve">Bold </w:t>
      </w:r>
      <w:r w:rsidRPr="003441CD">
        <w:rPr>
          <w:rFonts w:ascii="Times New Roman" w:hAnsi="Times New Roman"/>
          <w:color w:val="000000"/>
          <w:sz w:val="20"/>
          <w:szCs w:val="20"/>
        </w:rPr>
        <w:t xml:space="preserve">or </w:t>
      </w:r>
      <w:r w:rsidRPr="003441CD">
        <w:rPr>
          <w:rFonts w:ascii="Times New Roman" w:hAnsi="Times New Roman"/>
          <w:b/>
          <w:bCs/>
          <w:color w:val="000000"/>
          <w:sz w:val="20"/>
          <w:szCs w:val="20"/>
          <w:u w:val="single"/>
        </w:rPr>
        <w:t>Charles</w:t>
      </w:r>
      <w:r w:rsidRPr="003441CD">
        <w:rPr>
          <w:rFonts w:ascii="Times New Roman" w:hAnsi="Times New Roman"/>
          <w:color w:val="000000"/>
          <w:sz w:val="20"/>
          <w:szCs w:val="20"/>
        </w:rPr>
        <w:t xml:space="preserve"> le </w:t>
      </w:r>
      <w:r w:rsidRPr="003441CD">
        <w:rPr>
          <w:rFonts w:ascii="Times New Roman" w:hAnsi="Times New Roman"/>
          <w:b/>
          <w:bCs/>
          <w:color w:val="000000"/>
          <w:sz w:val="20"/>
          <w:szCs w:val="20"/>
          <w:u w:val="single"/>
        </w:rPr>
        <w:t>Temeraire</w:t>
      </w:r>
      <w:r w:rsidRPr="003441CD">
        <w:rPr>
          <w:rFonts w:ascii="Times New Roman" w:hAnsi="Times New Roman"/>
          <w:color w:val="000000"/>
          <w:sz w:val="20"/>
          <w:szCs w:val="20"/>
        </w:rPr>
        <w:t xml:space="preserve"> (accept </w:t>
      </w:r>
      <w:r w:rsidRPr="003441CD">
        <w:rPr>
          <w:rFonts w:ascii="Times New Roman" w:hAnsi="Times New Roman"/>
          <w:b/>
          <w:bCs/>
          <w:color w:val="000000"/>
          <w:sz w:val="20"/>
          <w:szCs w:val="20"/>
          <w:u w:val="single"/>
        </w:rPr>
        <w:t>Charles Martin</w:t>
      </w:r>
      <w:r w:rsidRPr="003441CD">
        <w:rPr>
          <w:rFonts w:ascii="Times New Roman" w:hAnsi="Times New Roman"/>
          <w:color w:val="000000"/>
          <w:sz w:val="20"/>
          <w:szCs w:val="20"/>
        </w:rPr>
        <w:t>)</w:t>
      </w:r>
      <w:r>
        <w:rPr>
          <w:rFonts w:ascii="Times New Roman" w:hAnsi="Times New Roman"/>
          <w:sz w:val="24"/>
          <w:szCs w:val="24"/>
        </w:rPr>
        <w:t xml:space="preserve"> </w:t>
      </w:r>
    </w:p>
    <w:p w:rsidR="009A4EB5" w:rsidRDefault="009A4EB5" w:rsidP="00693B5F">
      <w:pPr>
        <w:rPr>
          <w:rFonts w:ascii="Times New Roman" w:hAnsi="Times New Roman"/>
          <w:color w:val="000000"/>
          <w:sz w:val="20"/>
          <w:szCs w:val="20"/>
        </w:rPr>
      </w:pPr>
      <w:r w:rsidRPr="003441CD">
        <w:rPr>
          <w:rFonts w:ascii="Times New Roman" w:hAnsi="Times New Roman"/>
          <w:sz w:val="24"/>
          <w:szCs w:val="24"/>
        </w:rPr>
        <w:br/>
      </w:r>
      <w:r>
        <w:rPr>
          <w:rFonts w:ascii="Times New Roman" w:hAnsi="Times New Roman"/>
          <w:sz w:val="24"/>
          <w:szCs w:val="24"/>
        </w:rPr>
        <w:t xml:space="preserve">18 </w:t>
      </w:r>
      <w:r w:rsidRPr="003441CD">
        <w:rPr>
          <w:rFonts w:ascii="Times New Roman" w:hAnsi="Times New Roman"/>
          <w:color w:val="000000"/>
          <w:sz w:val="20"/>
          <w:szCs w:val="20"/>
        </w:rPr>
        <w:t>These objects do not exist for the shortest vector problem on lattices as a consequence of the PCP theorem. One common technique for finding these entities involves generating an LP relaxation of a Integer Programming problem. Arora described many of these for the Euclidean TSP at once by a scheme known as a PTAS, which allows specification of these algorithms' namesake factor. Johan Hastad showed the optimality of one trivial example of these for the MAX 3SAT problem that randomly assigns values to the variables. Another example for the minimal edge cover problem involves repeatedly selecting both endpoints of a remaining edge, resulting in a solution that is at most twice as large as the optimal solution. For 10 points, name these algorithms whose importance is motivated by the fact that nearly all optimization problems are NP-Hard and therefore are unlikely to admit fast exact solutions.</w:t>
      </w:r>
      <w:r w:rsidRPr="003441CD">
        <w:rPr>
          <w:rFonts w:ascii="Times New Roman" w:hAnsi="Times New Roman"/>
          <w:sz w:val="24"/>
          <w:szCs w:val="24"/>
        </w:rPr>
        <w:br/>
      </w:r>
      <w:r w:rsidRPr="003441CD">
        <w:rPr>
          <w:rFonts w:ascii="Times New Roman" w:hAnsi="Times New Roman"/>
          <w:color w:val="000000"/>
          <w:sz w:val="20"/>
          <w:szCs w:val="20"/>
        </w:rPr>
        <w:t xml:space="preserve">ANSWER: (Polynomial Time) </w:t>
      </w:r>
      <w:r w:rsidRPr="003441CD">
        <w:rPr>
          <w:rFonts w:ascii="Times New Roman" w:hAnsi="Times New Roman"/>
          <w:b/>
          <w:bCs/>
          <w:color w:val="000000"/>
          <w:sz w:val="20"/>
          <w:szCs w:val="20"/>
          <w:u w:val="single"/>
        </w:rPr>
        <w:t>Approximation</w:t>
      </w:r>
      <w:r w:rsidRPr="003441CD">
        <w:rPr>
          <w:rFonts w:ascii="Times New Roman" w:hAnsi="Times New Roman"/>
          <w:color w:val="000000"/>
          <w:sz w:val="20"/>
          <w:szCs w:val="20"/>
        </w:rPr>
        <w:t xml:space="preserve"> Algorithms</w:t>
      </w:r>
      <w:r>
        <w:rPr>
          <w:rFonts w:ascii="Times New Roman" w:hAnsi="Times New Roman"/>
          <w:color w:val="000000"/>
          <w:sz w:val="20"/>
          <w:szCs w:val="20"/>
        </w:rPr>
        <w:t xml:space="preserve"> </w:t>
      </w:r>
    </w:p>
    <w:p w:rsidR="009A4EB5" w:rsidRDefault="009A4EB5" w:rsidP="00693B5F">
      <w:r w:rsidRPr="003441CD">
        <w:rPr>
          <w:rFonts w:ascii="Times New Roman" w:hAnsi="Times New Roman"/>
          <w:sz w:val="24"/>
          <w:szCs w:val="24"/>
        </w:rPr>
        <w:br/>
      </w:r>
      <w:r>
        <w:rPr>
          <w:rFonts w:ascii="Times New Roman" w:hAnsi="Times New Roman"/>
          <w:sz w:val="24"/>
          <w:szCs w:val="24"/>
        </w:rPr>
        <w:t xml:space="preserve">19 </w:t>
      </w:r>
      <w:r w:rsidRPr="003441CD">
        <w:rPr>
          <w:rFonts w:ascii="Times New Roman" w:hAnsi="Times New Roman"/>
          <w:color w:val="000000"/>
          <w:sz w:val="20"/>
          <w:szCs w:val="20"/>
        </w:rPr>
        <w:t xml:space="preserve">In one incident of this novel, a husband slits the throat of his wife after finding the words “This pussy is mine” scrawled on her belly. Earlier, a sensation occurs when a Chinese immigrant wins the Golden Orchid in the national Poetic Festival. Captain Samaritano of </w:t>
      </w:r>
      <w:r w:rsidRPr="003441CD">
        <w:rPr>
          <w:rFonts w:ascii="Times New Roman" w:hAnsi="Times New Roman"/>
          <w:i/>
          <w:iCs/>
          <w:color w:val="000000"/>
          <w:sz w:val="20"/>
          <w:szCs w:val="20"/>
        </w:rPr>
        <w:t>New Fidelity</w:t>
      </w:r>
      <w:r w:rsidRPr="003441CD">
        <w:rPr>
          <w:rFonts w:ascii="Times New Roman" w:hAnsi="Times New Roman"/>
          <w:color w:val="000000"/>
          <w:sz w:val="20"/>
          <w:szCs w:val="20"/>
        </w:rPr>
        <w:t xml:space="preserve"> indulges a couple in this novel by hoisting the yellow flag and sailing in a state of emergency. One major character dies after falling from a mango tree trying to catch a parrot, and the protagonist of this novel inherits a river navigation company from Uncle Leo XII. This novel begins with the suicide of Jeremiah de Saint-Amour and the declaration that “the scent of bitter almonds always” reminded Juvenal Urbino of unrequited love. For 10 points, Florentino Ariza loves Fermina Daza for a really long time in what Garcia-Marquez novel?</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Love in the Time of Cholera</w:t>
      </w:r>
      <w:r w:rsidRPr="003441CD">
        <w:rPr>
          <w:rFonts w:ascii="Times New Roman" w:hAnsi="Times New Roman"/>
          <w:color w:val="000000"/>
          <w:sz w:val="20"/>
          <w:szCs w:val="20"/>
        </w:rPr>
        <w:t xml:space="preserve"> [El amor en los tiempos del cólera]</w:t>
      </w:r>
      <w:r w:rsidRPr="003441CD">
        <w:rPr>
          <w:rFonts w:ascii="Times New Roman" w:hAnsi="Times New Roman"/>
          <w:sz w:val="24"/>
          <w:szCs w:val="24"/>
        </w:rPr>
        <w:t xml:space="preserve"> </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 xml:space="preserve">20 </w:t>
      </w:r>
      <w:r w:rsidRPr="003441CD">
        <w:rPr>
          <w:rFonts w:ascii="Times New Roman" w:hAnsi="Times New Roman"/>
          <w:color w:val="000000"/>
          <w:sz w:val="20"/>
          <w:szCs w:val="20"/>
        </w:rPr>
        <w:t xml:space="preserve">In this work’s second movement, a central theme is played </w:t>
      </w:r>
      <w:r w:rsidRPr="003441CD">
        <w:rPr>
          <w:rFonts w:ascii="Times New Roman" w:hAnsi="Times New Roman"/>
          <w:i/>
          <w:iCs/>
          <w:color w:val="000000"/>
          <w:sz w:val="20"/>
          <w:szCs w:val="20"/>
        </w:rPr>
        <w:t>con tutta forza</w:t>
      </w:r>
      <w:r w:rsidRPr="003441CD">
        <w:rPr>
          <w:rFonts w:ascii="Times New Roman" w:hAnsi="Times New Roman"/>
          <w:color w:val="000000"/>
          <w:sz w:val="20"/>
          <w:szCs w:val="20"/>
        </w:rPr>
        <w:t xml:space="preserve"> and then quadruple </w:t>
      </w:r>
      <w:r w:rsidRPr="003441CD">
        <w:rPr>
          <w:rFonts w:ascii="Times New Roman" w:hAnsi="Times New Roman"/>
          <w:i/>
          <w:iCs/>
          <w:color w:val="000000"/>
          <w:sz w:val="20"/>
          <w:szCs w:val="20"/>
        </w:rPr>
        <w:t>forte</w:t>
      </w:r>
      <w:r w:rsidRPr="003441CD">
        <w:rPr>
          <w:rFonts w:ascii="Times New Roman" w:hAnsi="Times New Roman"/>
          <w:color w:val="000000"/>
          <w:sz w:val="20"/>
          <w:szCs w:val="20"/>
        </w:rPr>
        <w:t xml:space="preserve">. After the introduction, the </w:t>
      </w:r>
      <w:r w:rsidRPr="003441CD">
        <w:rPr>
          <w:rFonts w:ascii="Times New Roman" w:hAnsi="Times New Roman"/>
          <w:i/>
          <w:iCs/>
          <w:color w:val="000000"/>
          <w:sz w:val="20"/>
          <w:szCs w:val="20"/>
        </w:rPr>
        <w:t>Allegro con anima</w:t>
      </w:r>
      <w:r w:rsidRPr="003441CD">
        <w:rPr>
          <w:rFonts w:ascii="Times New Roman" w:hAnsi="Times New Roman"/>
          <w:color w:val="000000"/>
          <w:sz w:val="20"/>
          <w:szCs w:val="20"/>
        </w:rPr>
        <w:t xml:space="preserve"> section of the first movement feature the clarinets and bassoons playing a theme beginning C-E, and this work replaces the third movement scherzo with a waltz in A major. This work’s second movement is in D minor, and is to be played </w:t>
      </w:r>
      <w:r w:rsidRPr="003441CD">
        <w:rPr>
          <w:rFonts w:ascii="Times New Roman" w:hAnsi="Times New Roman"/>
          <w:i/>
          <w:iCs/>
          <w:color w:val="000000"/>
          <w:sz w:val="20"/>
          <w:szCs w:val="20"/>
        </w:rPr>
        <w:t>con alcune licenza</w:t>
      </w:r>
      <w:r w:rsidRPr="003441CD">
        <w:rPr>
          <w:rFonts w:ascii="Times New Roman" w:hAnsi="Times New Roman"/>
          <w:color w:val="000000"/>
          <w:sz w:val="20"/>
          <w:szCs w:val="20"/>
        </w:rPr>
        <w:t xml:space="preserve"> as well as </w:t>
      </w:r>
      <w:r w:rsidRPr="003441CD">
        <w:rPr>
          <w:rFonts w:ascii="Times New Roman" w:hAnsi="Times New Roman"/>
          <w:i/>
          <w:iCs/>
          <w:color w:val="000000"/>
          <w:sz w:val="20"/>
          <w:szCs w:val="20"/>
        </w:rPr>
        <w:t>andante cantabile</w:t>
      </w:r>
      <w:r w:rsidRPr="003441CD">
        <w:rPr>
          <w:rFonts w:ascii="Times New Roman" w:hAnsi="Times New Roman"/>
          <w:color w:val="000000"/>
          <w:sz w:val="20"/>
          <w:szCs w:val="20"/>
        </w:rPr>
        <w:t xml:space="preserve">, and contains a famous </w:t>
      </w:r>
      <w:r w:rsidRPr="003441CD">
        <w:rPr>
          <w:rFonts w:ascii="Times New Roman" w:hAnsi="Times New Roman"/>
          <w:i/>
          <w:iCs/>
          <w:color w:val="000000"/>
          <w:sz w:val="20"/>
          <w:szCs w:val="20"/>
        </w:rPr>
        <w:t>dolce con molto espressione</w:t>
      </w:r>
      <w:r w:rsidRPr="003441CD">
        <w:rPr>
          <w:rFonts w:ascii="Times New Roman" w:hAnsi="Times New Roman"/>
          <w:color w:val="000000"/>
          <w:sz w:val="20"/>
          <w:szCs w:val="20"/>
        </w:rPr>
        <w:t xml:space="preserve"> horn solo. This work is dedicated to Theodor Ave-Lallement, and in its final movement, a series of B major chords are followed by a pause, after which the motto theme often called “Fate” reappears. For 10 points, name this E minor work, the first of its composer’s two symphonies to follow the </w:t>
      </w:r>
      <w:r w:rsidRPr="003441CD">
        <w:rPr>
          <w:rFonts w:ascii="Times New Roman" w:hAnsi="Times New Roman"/>
          <w:i/>
          <w:iCs/>
          <w:color w:val="000000"/>
          <w:sz w:val="20"/>
          <w:szCs w:val="20"/>
        </w:rPr>
        <w:t>Manfred</w:t>
      </w:r>
      <w:r w:rsidRPr="003441CD">
        <w:rPr>
          <w:rFonts w:ascii="Times New Roman" w:hAnsi="Times New Roman"/>
          <w:color w:val="000000"/>
          <w:sz w:val="20"/>
          <w:szCs w:val="20"/>
        </w:rPr>
        <w:t>.  </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693B5F">
        <w:rPr>
          <w:rFonts w:ascii="Times New Roman" w:hAnsi="Times New Roman"/>
          <w:b/>
          <w:color w:val="000000"/>
          <w:sz w:val="20"/>
          <w:szCs w:val="20"/>
          <w:u w:val="single"/>
        </w:rPr>
        <w:t>Tchaikovsky’s</w:t>
      </w:r>
      <w:r w:rsidRPr="003441CD">
        <w:rPr>
          <w:rFonts w:ascii="Times New Roman" w:hAnsi="Times New Roman"/>
          <w:color w:val="000000"/>
          <w:sz w:val="20"/>
          <w:szCs w:val="20"/>
        </w:rPr>
        <w:t xml:space="preserve"> Symphony No. </w:t>
      </w:r>
      <w:r w:rsidRPr="00693B5F">
        <w:rPr>
          <w:rFonts w:ascii="Times New Roman" w:hAnsi="Times New Roman"/>
          <w:b/>
          <w:color w:val="000000"/>
          <w:sz w:val="20"/>
          <w:szCs w:val="20"/>
          <w:u w:val="single"/>
        </w:rPr>
        <w:t>5</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 xml:space="preserve">21 </w:t>
      </w:r>
      <w:r w:rsidRPr="003441CD">
        <w:rPr>
          <w:rFonts w:ascii="Times New Roman" w:hAnsi="Times New Roman"/>
          <w:color w:val="000000"/>
          <w:sz w:val="20"/>
          <w:szCs w:val="20"/>
        </w:rPr>
        <w:t>One atrocity committed during this battle involved about 150 prisoners of war being shot near Malmedy. During this battle, one side launched Operation Bodenplatte on January 1st in a desperate attempt to gain air superiority, while the infamous Otto Skorzeny led a group of commandos in enemy uniforms to sabotage the defense effort. Patton summarized his counterattack with the phrase “Drive Like Hell,” while Patton was detained for some time because he correctly identified the capital of Illinois as Springfield. More famously, Anthony McAuliffe, while defending Bastogne, spurned the demand for surrender with one word, “NUTS.” Although renamed “Autumn Mist,” it is better known for the original codename “Watch on the Rhine.” FTP, begun in December 1944 was what final German offensive during World War II.</w:t>
      </w:r>
      <w:r w:rsidRPr="003441CD">
        <w:rPr>
          <w:rFonts w:ascii="Times New Roman" w:hAnsi="Times New Roman"/>
          <w:sz w:val="24"/>
          <w:szCs w:val="24"/>
        </w:rPr>
        <w:br/>
      </w:r>
      <w:r w:rsidRPr="003441CD">
        <w:rPr>
          <w:rFonts w:ascii="Times New Roman" w:hAnsi="Times New Roman"/>
          <w:color w:val="000000"/>
          <w:sz w:val="20"/>
          <w:szCs w:val="20"/>
        </w:rPr>
        <w:t xml:space="preserve">ANSWER: </w:t>
      </w:r>
      <w:r w:rsidRPr="003441CD">
        <w:rPr>
          <w:rFonts w:ascii="Times New Roman" w:hAnsi="Times New Roman"/>
          <w:b/>
          <w:bCs/>
          <w:color w:val="000000"/>
          <w:sz w:val="20"/>
          <w:szCs w:val="20"/>
          <w:u w:val="single"/>
        </w:rPr>
        <w:t>Battle of the Bulge</w:t>
      </w:r>
      <w:r w:rsidRPr="003441CD">
        <w:rPr>
          <w:rFonts w:ascii="Times New Roman" w:hAnsi="Times New Roman"/>
          <w:color w:val="000000"/>
          <w:sz w:val="20"/>
          <w:szCs w:val="20"/>
        </w:rPr>
        <w:t xml:space="preserve"> [accept Ardennes Offensive; prompt on “Autumn Mist” and “Watch on the Rhine”]</w:t>
      </w:r>
      <w:r w:rsidRPr="003441CD">
        <w:rPr>
          <w:rFonts w:ascii="Times New Roman" w:hAnsi="Times New Roman"/>
          <w:sz w:val="24"/>
          <w:szCs w:val="24"/>
        </w:rPr>
        <w:br/>
      </w:r>
      <w:r w:rsidRPr="003441CD">
        <w:rPr>
          <w:rFonts w:ascii="Times New Roman" w:hAnsi="Times New Roman"/>
          <w:sz w:val="24"/>
          <w:szCs w:val="24"/>
        </w:rPr>
        <w:br/>
      </w:r>
      <w:r>
        <w:rPr>
          <w:rFonts w:ascii="Times New Roman" w:hAnsi="Times New Roman"/>
          <w:sz w:val="24"/>
          <w:szCs w:val="24"/>
        </w:rPr>
        <w:t xml:space="preserve">22 </w:t>
      </w:r>
      <w:r w:rsidRPr="003441CD">
        <w:rPr>
          <w:rFonts w:ascii="Times New Roman" w:hAnsi="Times New Roman"/>
          <w:color w:val="000000"/>
          <w:sz w:val="20"/>
          <w:szCs w:val="20"/>
        </w:rPr>
        <w:t>The premier of this work so moved Alban Berg that he wrote to his wife that he was “unfaithful” after it. Its third movement features an instrument called the ruthe and calls for col legno playing, which portray waking up from a blissful dream and facing a distorted world. In a passage called “the Great Call,” horns and trumpets send forth calls to each other, and are answered by the flute and piccolo. Gilbert Kaplan dedicated his musical life to conducing this symphony, and the composer called for a five minute break between the first movement and the landler second movement. The innocent faith, “I am from God and will return to God” is expressed by an alto solo in the fourth movement, “Urlicht.” It uses the “Die Auferstehung” by Friedrich Gottlieb Klopstock in the last movement and was inspired by the funeral of Hans von Bülow. Following the Titan Symphony in number, for 10 points, what work by Mahler is known by the nickname “Resurrection”?</w:t>
      </w:r>
      <w:r w:rsidRPr="003441CD">
        <w:rPr>
          <w:rFonts w:ascii="Times New Roman" w:hAnsi="Times New Roman"/>
          <w:sz w:val="24"/>
          <w:szCs w:val="24"/>
        </w:rPr>
        <w:br/>
      </w:r>
      <w:r w:rsidRPr="003441CD">
        <w:rPr>
          <w:rFonts w:ascii="Times New Roman" w:hAnsi="Times New Roman"/>
          <w:color w:val="000000"/>
          <w:sz w:val="20"/>
          <w:szCs w:val="20"/>
        </w:rPr>
        <w:t>ANSWER</w:t>
      </w:r>
      <w:r w:rsidRPr="00693B5F">
        <w:rPr>
          <w:rFonts w:ascii="Times New Roman" w:hAnsi="Times New Roman"/>
          <w:b/>
          <w:color w:val="000000"/>
          <w:sz w:val="20"/>
          <w:szCs w:val="20"/>
          <w:u w:val="single"/>
        </w:rPr>
        <w:t>: Mahler’s 2nd</w:t>
      </w:r>
      <w:r w:rsidRPr="003441CD">
        <w:rPr>
          <w:rFonts w:ascii="Times New Roman" w:hAnsi="Times New Roman"/>
          <w:color w:val="000000"/>
          <w:sz w:val="20"/>
          <w:szCs w:val="20"/>
        </w:rPr>
        <w:t xml:space="preserve"> Symphony [accept Resurrection Symphony, of course]</w:t>
      </w:r>
      <w:r w:rsidRPr="003441CD">
        <w:rPr>
          <w:rFonts w:ascii="Times New Roman" w:hAnsi="Times New Roman"/>
          <w:sz w:val="24"/>
          <w:szCs w:val="24"/>
        </w:rPr>
        <w:br/>
      </w:r>
      <w:r w:rsidRPr="003441CD">
        <w:rPr>
          <w:rFonts w:ascii="Times New Roman" w:hAnsi="Times New Roman"/>
          <w:sz w:val="24"/>
          <w:szCs w:val="24"/>
        </w:rPr>
        <w:br/>
      </w:r>
      <w:r w:rsidRPr="003441CD">
        <w:rPr>
          <w:rFonts w:ascii="Times New Roman" w:hAnsi="Times New Roman"/>
          <w:color w:val="000000"/>
          <w:sz w:val="20"/>
          <w:szCs w:val="20"/>
        </w:rPr>
        <w:t>ANSWER:</w:t>
      </w:r>
      <w:bookmarkStart w:id="0" w:name="_GoBack"/>
      <w:bookmarkEnd w:id="0"/>
    </w:p>
    <w:sectPr w:rsidR="009A4EB5" w:rsidSect="0080765E">
      <w:pgSz w:w="12240" w:h="15840"/>
      <w:pgMar w:top="1985" w:right="1701" w:bottom="170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1CD"/>
    <w:rsid w:val="00142948"/>
    <w:rsid w:val="003441CD"/>
    <w:rsid w:val="00693B5F"/>
    <w:rsid w:val="007444E2"/>
    <w:rsid w:val="0080765E"/>
    <w:rsid w:val="008C7C5A"/>
    <w:rsid w:val="009A4EB5"/>
    <w:rsid w:val="00BF6B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65E"/>
    <w:pPr>
      <w:spacing w:after="200" w:line="276" w:lineRule="auto"/>
    </w:pPr>
    <w:rPr>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3441C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544949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5</Pages>
  <Words>2910</Words>
  <Characters>16587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Arts</dc:title>
  <dc:subject/>
  <dc:creator>Daichi</dc:creator>
  <cp:keywords/>
  <dc:description/>
  <cp:lastModifiedBy>Mik</cp:lastModifiedBy>
  <cp:revision>2</cp:revision>
  <dcterms:created xsi:type="dcterms:W3CDTF">2012-03-31T22:45:00Z</dcterms:created>
  <dcterms:modified xsi:type="dcterms:W3CDTF">2012-03-31T22:45:00Z</dcterms:modified>
</cp:coreProperties>
</file>